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E8E5" w14:textId="77777777" w:rsidR="000B7396" w:rsidRPr="000B7396" w:rsidRDefault="000B7396" w:rsidP="000B7396">
      <w:pPr>
        <w:pStyle w:val="Heading1"/>
        <w:rPr>
          <w:rFonts w:asciiTheme="minorHAnsi" w:eastAsia="Times New Roman" w:hAnsiTheme="minorHAnsi" w:cs="Arial"/>
          <w:b/>
          <w:bCs/>
          <w:color w:val="000000" w:themeColor="text1"/>
          <w:sz w:val="22"/>
          <w:szCs w:val="22"/>
          <w:lang w:eastAsia="en-CA"/>
        </w:rPr>
      </w:pPr>
      <w:bookmarkStart w:id="0" w:name="_Toc444675486"/>
      <w:r w:rsidRPr="000B7396">
        <w:rPr>
          <w:rFonts w:asciiTheme="minorHAnsi" w:eastAsia="Times New Roman" w:hAnsiTheme="minorHAnsi" w:cs="Arial"/>
          <w:b/>
          <w:bCs/>
          <w:color w:val="000000" w:themeColor="text1"/>
          <w:sz w:val="22"/>
          <w:szCs w:val="22"/>
          <w:lang w:eastAsia="en-CA"/>
        </w:rPr>
        <w:t>SWOT Analysis</w:t>
      </w:r>
      <w:bookmarkEnd w:id="0"/>
      <w:r w:rsidRPr="000B7396">
        <w:rPr>
          <w:rFonts w:asciiTheme="minorHAnsi" w:eastAsia="Times New Roman" w:hAnsiTheme="minorHAnsi" w:cs="Arial"/>
          <w:b/>
          <w:bCs/>
          <w:color w:val="000000" w:themeColor="text1"/>
          <w:sz w:val="22"/>
          <w:szCs w:val="22"/>
          <w:lang w:eastAsia="en-CA"/>
        </w:rPr>
        <w:t xml:space="preserve"> </w:t>
      </w:r>
    </w:p>
    <w:p w14:paraId="7DCB42EC" w14:textId="77777777" w:rsidR="000B7396" w:rsidRPr="000B7396" w:rsidRDefault="000B7396" w:rsidP="000B7396">
      <w:pPr>
        <w:rPr>
          <w:rFonts w:asciiTheme="minorHAnsi" w:hAnsiTheme="minorHAnsi" w:cs="Arial"/>
        </w:rPr>
      </w:pPr>
    </w:p>
    <w:p w14:paraId="79D35E9A" w14:textId="77777777" w:rsidR="000B7396" w:rsidRPr="000B7396" w:rsidRDefault="000B7396" w:rsidP="000B7396">
      <w:pPr>
        <w:rPr>
          <w:rFonts w:asciiTheme="minorHAnsi" w:hAnsiTheme="minorHAnsi" w:cs="Arial"/>
        </w:rPr>
      </w:pPr>
      <w:r w:rsidRPr="000B7396">
        <w:rPr>
          <w:rFonts w:asciiTheme="minorHAnsi" w:hAnsiTheme="minorHAnsi" w:cs="Arial"/>
        </w:rPr>
        <w:t>A SWOT (Strengths/Weaknesses/Opportunities/Threats) analysis is an excellent tool to assess your community and develop your engagement strategy.</w:t>
      </w:r>
    </w:p>
    <w:p w14:paraId="3CE1385A" w14:textId="77777777" w:rsidR="000B7396" w:rsidRPr="000B7396" w:rsidRDefault="000B7396" w:rsidP="000B7396">
      <w:pPr>
        <w:ind w:left="1560" w:hanging="1560"/>
        <w:rPr>
          <w:rFonts w:asciiTheme="minorHAnsi" w:hAnsiTheme="minorHAnsi" w:cs="Arial"/>
        </w:rPr>
      </w:pPr>
      <w:r w:rsidRPr="000B7396">
        <w:rPr>
          <w:rFonts w:asciiTheme="minorHAnsi" w:hAnsiTheme="minorHAnsi" w:cs="Arial"/>
        </w:rPr>
        <w:t xml:space="preserve">Strengths: </w:t>
      </w:r>
      <w:r w:rsidRPr="000B7396">
        <w:rPr>
          <w:rFonts w:asciiTheme="minorHAnsi" w:hAnsiTheme="minorHAnsi" w:cs="Arial"/>
        </w:rPr>
        <w:tab/>
        <w:t>internal characteristics of your community or organization; areas in which you excel or hold a competitive advantage over others</w:t>
      </w:r>
    </w:p>
    <w:p w14:paraId="273B98A8" w14:textId="77777777" w:rsidR="000B7396" w:rsidRPr="000B7396" w:rsidRDefault="000B7396" w:rsidP="000B7396">
      <w:pPr>
        <w:ind w:left="1560" w:hanging="1560"/>
        <w:rPr>
          <w:rFonts w:asciiTheme="minorHAnsi" w:hAnsiTheme="minorHAnsi" w:cs="Arial"/>
        </w:rPr>
      </w:pPr>
      <w:r w:rsidRPr="000B7396">
        <w:rPr>
          <w:rFonts w:asciiTheme="minorHAnsi" w:hAnsiTheme="minorHAnsi" w:cs="Arial"/>
        </w:rPr>
        <w:t xml:space="preserve">Weaknesses: </w:t>
      </w:r>
      <w:r w:rsidRPr="000B7396">
        <w:rPr>
          <w:rFonts w:asciiTheme="minorHAnsi" w:hAnsiTheme="minorHAnsi" w:cs="Arial"/>
        </w:rPr>
        <w:tab/>
        <w:t>internal characteristics of your community or organization; areas in which you could improve or where others hold a competitive advantage over you</w:t>
      </w:r>
    </w:p>
    <w:p w14:paraId="345C3535" w14:textId="77777777" w:rsidR="000B7396" w:rsidRPr="000B7396" w:rsidRDefault="000B7396" w:rsidP="000B7396">
      <w:pPr>
        <w:ind w:left="1560" w:hanging="1560"/>
        <w:rPr>
          <w:rFonts w:asciiTheme="minorHAnsi" w:hAnsiTheme="minorHAnsi" w:cs="Arial"/>
        </w:rPr>
      </w:pPr>
      <w:r w:rsidRPr="000B7396">
        <w:rPr>
          <w:rFonts w:asciiTheme="minorHAnsi" w:hAnsiTheme="minorHAnsi" w:cs="Arial"/>
        </w:rPr>
        <w:t xml:space="preserve">Opportunities: </w:t>
      </w:r>
      <w:r w:rsidRPr="000B7396">
        <w:rPr>
          <w:rFonts w:asciiTheme="minorHAnsi" w:hAnsiTheme="minorHAnsi" w:cs="Arial"/>
        </w:rPr>
        <w:tab/>
        <w:t>external factors that could impact your community or organization positively; areas that you can pursue</w:t>
      </w:r>
    </w:p>
    <w:p w14:paraId="5071F35E" w14:textId="77777777" w:rsidR="000B7396" w:rsidRPr="000B7396" w:rsidRDefault="000B7396" w:rsidP="000B7396">
      <w:pPr>
        <w:ind w:left="1560" w:hanging="1560"/>
        <w:rPr>
          <w:rFonts w:asciiTheme="minorHAnsi" w:hAnsiTheme="minorHAnsi" w:cs="Arial"/>
        </w:rPr>
      </w:pPr>
      <w:r w:rsidRPr="000B7396">
        <w:rPr>
          <w:rFonts w:asciiTheme="minorHAnsi" w:hAnsiTheme="minorHAnsi" w:cs="Arial"/>
        </w:rPr>
        <w:t xml:space="preserve">Threats: </w:t>
      </w:r>
      <w:r w:rsidRPr="000B7396">
        <w:rPr>
          <w:rFonts w:asciiTheme="minorHAnsi" w:hAnsiTheme="minorHAnsi" w:cs="Arial"/>
        </w:rPr>
        <w:tab/>
        <w:t>external factors that could negatively impact your community or organization; risks that need management</w:t>
      </w:r>
    </w:p>
    <w:p w14:paraId="3E923112" w14:textId="77777777" w:rsidR="000B7396" w:rsidRPr="000B7396" w:rsidRDefault="000B7396" w:rsidP="000B7396">
      <w:pPr>
        <w:rPr>
          <w:rFonts w:asciiTheme="minorHAnsi" w:hAnsiTheme="minorHAnsi" w:cs="Arial"/>
        </w:rPr>
      </w:pPr>
      <w:r w:rsidRPr="000B7396">
        <w:rPr>
          <w:rFonts w:asciiTheme="minorHAnsi" w:hAnsiTheme="minorHAnsi" w:cs="Arial"/>
        </w:rPr>
        <w:t xml:space="preserve">A SWOT analysis can be captioned in many formats, though the most important factor is that the results are documented.  It can be performed by an individual, by a committee group or by a larger group of stakeholders. Caution should be exercised when performing a SWOT analysis by too few people however; it is vitally important that it considers perspectives from different stakeholders.  Therefore, we recommend that a SWOT be performed by a group of no less than five people who can adequately represent the perspectives of your community’s stakeholders. </w:t>
      </w:r>
    </w:p>
    <w:p w14:paraId="097143CD" w14:textId="77777777" w:rsidR="000B7396" w:rsidRPr="000B7396" w:rsidRDefault="000B7396" w:rsidP="000B7396">
      <w:pPr>
        <w:rPr>
          <w:rFonts w:asciiTheme="minorHAnsi" w:hAnsiTheme="minorHAnsi" w:cs="Arial"/>
        </w:rPr>
      </w:pPr>
      <w:r w:rsidRPr="000B7396">
        <w:rPr>
          <w:rFonts w:asciiTheme="minorHAnsi" w:hAnsiTheme="minorHAnsi" w:cs="Arial"/>
        </w:rPr>
        <w:t>You could conduct a SWOT analysis by:</w:t>
      </w:r>
    </w:p>
    <w:p w14:paraId="5942D528" w14:textId="77777777" w:rsidR="000B7396" w:rsidRPr="000B7396" w:rsidRDefault="000B7396" w:rsidP="000B7396">
      <w:pPr>
        <w:pStyle w:val="ListParagraph"/>
        <w:numPr>
          <w:ilvl w:val="0"/>
          <w:numId w:val="2"/>
        </w:numPr>
        <w:rPr>
          <w:rFonts w:asciiTheme="minorHAnsi" w:hAnsiTheme="minorHAnsi" w:cs="Arial"/>
        </w:rPr>
      </w:pPr>
      <w:r w:rsidRPr="000B7396">
        <w:rPr>
          <w:rFonts w:asciiTheme="minorHAnsi" w:hAnsiTheme="minorHAnsi" w:cs="Arial"/>
        </w:rPr>
        <w:t>Hosting a brainstorming session with a facilitator/recorder who records the analysis on flip chart paper. Remember that during brainstorming there are no wrong answers and no judgment. Discussion of answers can be facilitated once brainstorming is complete and while answers are being compiled.</w:t>
      </w:r>
    </w:p>
    <w:p w14:paraId="73F83685" w14:textId="77777777" w:rsidR="000B7396" w:rsidRPr="000B7396" w:rsidRDefault="000B7396" w:rsidP="000B7396">
      <w:pPr>
        <w:pStyle w:val="ListParagraph"/>
        <w:numPr>
          <w:ilvl w:val="0"/>
          <w:numId w:val="2"/>
        </w:numPr>
        <w:rPr>
          <w:rFonts w:asciiTheme="minorHAnsi" w:hAnsiTheme="minorHAnsi" w:cs="Arial"/>
        </w:rPr>
      </w:pPr>
      <w:r w:rsidRPr="000B7396">
        <w:rPr>
          <w:rFonts w:asciiTheme="minorHAnsi" w:hAnsiTheme="minorHAnsi" w:cs="Arial"/>
        </w:rPr>
        <w:t>Have members of your group submit answers individually and have a recorder who compiles the answers and sends them to the group.  It is still advisable to have a meeting to review the SWOT results after they have been compiled. Don’t be surprised if more ideas come up as a result of building on other answers.</w:t>
      </w:r>
    </w:p>
    <w:p w14:paraId="1450881A" w14:textId="77777777" w:rsidR="000B7396" w:rsidRPr="000B7396" w:rsidRDefault="000B7396" w:rsidP="000B7396">
      <w:pPr>
        <w:pStyle w:val="ListParagraph"/>
        <w:numPr>
          <w:ilvl w:val="0"/>
          <w:numId w:val="2"/>
        </w:numPr>
        <w:rPr>
          <w:rFonts w:asciiTheme="minorHAnsi" w:hAnsiTheme="minorHAnsi" w:cs="Arial"/>
        </w:rPr>
      </w:pPr>
      <w:r w:rsidRPr="000B7396">
        <w:rPr>
          <w:rFonts w:asciiTheme="minorHAnsi" w:hAnsiTheme="minorHAnsi" w:cs="Arial"/>
        </w:rPr>
        <w:t>At a group meeting, give every member of the team sticky notes and have them write their answers on a sticky note. Place the notes on flip chart sheets or bulletin boards under each heading.  Compile the answers and review with the group.  This is a lot like brainstorming, but allows an opportunity for quieter or more reserved group members to contribute without the need to be vocal.</w:t>
      </w:r>
    </w:p>
    <w:p w14:paraId="7082039E" w14:textId="77777777" w:rsidR="000B7396" w:rsidRPr="000B7396" w:rsidRDefault="000B7396" w:rsidP="000B7396">
      <w:pPr>
        <w:rPr>
          <w:rFonts w:asciiTheme="minorHAnsi" w:hAnsiTheme="minorHAnsi" w:cs="Arial"/>
        </w:rPr>
      </w:pPr>
      <w:r w:rsidRPr="000B7396">
        <w:rPr>
          <w:rFonts w:asciiTheme="minorHAnsi" w:hAnsiTheme="minorHAnsi" w:cs="Arial"/>
        </w:rPr>
        <w:t xml:space="preserve">However you perform your SWOT analysis, remember that a group review of the results is key.  </w:t>
      </w:r>
    </w:p>
    <w:p w14:paraId="46D1AAC0" w14:textId="77777777" w:rsidR="000B7396" w:rsidRPr="000B7396" w:rsidRDefault="000B7396" w:rsidP="000B7396">
      <w:pPr>
        <w:rPr>
          <w:rFonts w:asciiTheme="minorHAnsi" w:hAnsiTheme="minorHAnsi" w:cs="Arial"/>
        </w:rPr>
      </w:pPr>
      <w:r w:rsidRPr="000B7396">
        <w:rPr>
          <w:rFonts w:asciiTheme="minorHAnsi" w:hAnsiTheme="minorHAnsi" w:cs="Arial"/>
        </w:rPr>
        <w:t>Look for the areas where your strengths align with your opportunities and utilize those areas in your engagement strategy, while avoiding areas where your weaknesses align with threats.  An alternative way to think of SWOT is:</w:t>
      </w:r>
    </w:p>
    <w:p w14:paraId="74906662" w14:textId="77777777" w:rsidR="000B7396" w:rsidRPr="000B7396" w:rsidRDefault="000B7396" w:rsidP="000B7396">
      <w:pPr>
        <w:rPr>
          <w:rFonts w:asciiTheme="minorHAnsi" w:hAnsiTheme="minorHAnsi" w:cs="Arial"/>
        </w:rPr>
      </w:pPr>
      <w:r w:rsidRPr="000B7396">
        <w:rPr>
          <w:rFonts w:asciiTheme="minorHAnsi" w:hAnsiTheme="minorHAnsi" w:cs="Arial"/>
        </w:rPr>
        <w:t xml:space="preserve">- Strengths </w:t>
      </w:r>
      <w:r w:rsidRPr="000B7396">
        <w:rPr>
          <w:rFonts w:asciiTheme="minorHAnsi" w:hAnsiTheme="minorHAnsi" w:cs="Arial"/>
          <w:i/>
        </w:rPr>
        <w:t>defend against</w:t>
      </w:r>
      <w:r w:rsidRPr="000B7396">
        <w:rPr>
          <w:rFonts w:asciiTheme="minorHAnsi" w:hAnsiTheme="minorHAnsi" w:cs="Arial"/>
        </w:rPr>
        <w:t xml:space="preserve"> Threats</w:t>
      </w:r>
    </w:p>
    <w:p w14:paraId="62B4A740" w14:textId="77777777" w:rsidR="000B7396" w:rsidRPr="000B7396" w:rsidRDefault="000B7396" w:rsidP="000B7396">
      <w:pPr>
        <w:rPr>
          <w:rFonts w:asciiTheme="minorHAnsi" w:hAnsiTheme="minorHAnsi" w:cs="Arial"/>
        </w:rPr>
      </w:pPr>
      <w:r w:rsidRPr="000B7396">
        <w:rPr>
          <w:rFonts w:asciiTheme="minorHAnsi" w:hAnsiTheme="minorHAnsi" w:cs="Arial"/>
        </w:rPr>
        <w:t xml:space="preserve">- Threats </w:t>
      </w:r>
      <w:r w:rsidRPr="000B7396">
        <w:rPr>
          <w:rFonts w:asciiTheme="minorHAnsi" w:hAnsiTheme="minorHAnsi" w:cs="Arial"/>
          <w:i/>
        </w:rPr>
        <w:t>expose</w:t>
      </w:r>
      <w:r w:rsidRPr="000B7396">
        <w:rPr>
          <w:rFonts w:asciiTheme="minorHAnsi" w:hAnsiTheme="minorHAnsi" w:cs="Arial"/>
        </w:rPr>
        <w:t xml:space="preserve"> Weaknesses</w:t>
      </w:r>
    </w:p>
    <w:p w14:paraId="47812096" w14:textId="77777777" w:rsidR="000B7396" w:rsidRPr="000B7396" w:rsidRDefault="000B7396" w:rsidP="000B7396">
      <w:pPr>
        <w:rPr>
          <w:rFonts w:asciiTheme="minorHAnsi" w:hAnsiTheme="minorHAnsi" w:cs="Arial"/>
        </w:rPr>
      </w:pPr>
      <w:r w:rsidRPr="000B7396">
        <w:rPr>
          <w:rFonts w:asciiTheme="minorHAnsi" w:hAnsiTheme="minorHAnsi" w:cs="Arial"/>
        </w:rPr>
        <w:lastRenderedPageBreak/>
        <w:t xml:space="preserve">- Weaknesses </w:t>
      </w:r>
      <w:r w:rsidRPr="000B7396">
        <w:rPr>
          <w:rFonts w:asciiTheme="minorHAnsi" w:hAnsiTheme="minorHAnsi" w:cs="Arial"/>
          <w:i/>
        </w:rPr>
        <w:t>turn into</w:t>
      </w:r>
      <w:r w:rsidRPr="000B7396">
        <w:rPr>
          <w:rFonts w:asciiTheme="minorHAnsi" w:hAnsiTheme="minorHAnsi" w:cs="Arial"/>
        </w:rPr>
        <w:t xml:space="preserve"> Opportunities</w:t>
      </w:r>
    </w:p>
    <w:p w14:paraId="3FCBE845" w14:textId="77777777" w:rsidR="000B7396" w:rsidRPr="000B7396" w:rsidRDefault="000B7396" w:rsidP="000B7396">
      <w:pPr>
        <w:rPr>
          <w:rFonts w:asciiTheme="minorHAnsi" w:hAnsiTheme="minorHAnsi" w:cs="Arial"/>
        </w:rPr>
      </w:pPr>
      <w:r w:rsidRPr="000B7396">
        <w:rPr>
          <w:rFonts w:asciiTheme="minorHAnsi" w:hAnsiTheme="minorHAnsi" w:cs="Arial"/>
        </w:rPr>
        <w:t xml:space="preserve">- Opportunities </w:t>
      </w:r>
      <w:r w:rsidRPr="000B7396">
        <w:rPr>
          <w:rFonts w:asciiTheme="minorHAnsi" w:hAnsiTheme="minorHAnsi" w:cs="Arial"/>
          <w:i/>
        </w:rPr>
        <w:t>can be capitalized on, to become</w:t>
      </w:r>
      <w:r w:rsidRPr="000B7396">
        <w:rPr>
          <w:rFonts w:asciiTheme="minorHAnsi" w:hAnsiTheme="minorHAnsi" w:cs="Arial"/>
        </w:rPr>
        <w:t xml:space="preserve"> Strengths</w:t>
      </w:r>
    </w:p>
    <w:p w14:paraId="0C9A6760" w14:textId="77777777" w:rsidR="000B7396" w:rsidRPr="000B7396" w:rsidRDefault="000B7396" w:rsidP="000B7396">
      <w:pPr>
        <w:rPr>
          <w:rFonts w:asciiTheme="minorHAnsi" w:hAnsiTheme="minorHAnsi" w:cs="Arial"/>
        </w:rPr>
      </w:pPr>
      <w:r w:rsidRPr="000B7396">
        <w:rPr>
          <w:rFonts w:asciiTheme="minorHAnsi" w:hAnsiTheme="minorHAnsi" w:cs="Arial"/>
        </w:rPr>
        <w:t>Plan your engagement strategy around your organization’s strengths and the opportunities available to you.</w:t>
      </w:r>
    </w:p>
    <w:p w14:paraId="1A7C8C38" w14:textId="77777777" w:rsidR="00746654" w:rsidRDefault="00003B3F">
      <w:pPr>
        <w:rPr>
          <w:rFonts w:asciiTheme="minorHAnsi" w:hAnsiTheme="minorHAnsi"/>
        </w:rPr>
      </w:pPr>
    </w:p>
    <w:tbl>
      <w:tblPr>
        <w:tblStyle w:val="TableGrid"/>
        <w:tblW w:w="0" w:type="auto"/>
        <w:tblLook w:val="04A0" w:firstRow="1" w:lastRow="0" w:firstColumn="1" w:lastColumn="0" w:noHBand="0" w:noVBand="1"/>
      </w:tblPr>
      <w:tblGrid>
        <w:gridCol w:w="1010"/>
        <w:gridCol w:w="4112"/>
        <w:gridCol w:w="4228"/>
      </w:tblGrid>
      <w:tr w:rsidR="000B7396" w14:paraId="18B5B2C3" w14:textId="77777777" w:rsidTr="000906AE">
        <w:tc>
          <w:tcPr>
            <w:tcW w:w="1010" w:type="dxa"/>
          </w:tcPr>
          <w:p w14:paraId="371BF89E" w14:textId="77777777" w:rsidR="000B7396" w:rsidRDefault="000B7396">
            <w:pPr>
              <w:rPr>
                <w:rFonts w:asciiTheme="minorHAnsi" w:hAnsiTheme="minorHAnsi"/>
              </w:rPr>
            </w:pPr>
          </w:p>
        </w:tc>
        <w:tc>
          <w:tcPr>
            <w:tcW w:w="4228" w:type="dxa"/>
          </w:tcPr>
          <w:p w14:paraId="471D88AF" w14:textId="77777777" w:rsidR="000906AE" w:rsidRDefault="000906AE" w:rsidP="000906AE">
            <w:pPr>
              <w:rPr>
                <w:rFonts w:asciiTheme="minorHAnsi" w:hAnsiTheme="minorHAnsi"/>
              </w:rPr>
            </w:pPr>
            <w:r>
              <w:rPr>
                <w:rFonts w:asciiTheme="minorHAnsi" w:hAnsiTheme="minorHAnsi"/>
              </w:rPr>
              <w:t>Internal Factors</w:t>
            </w:r>
          </w:p>
          <w:p w14:paraId="53117FC2" w14:textId="77777777" w:rsidR="000B7396" w:rsidRDefault="000B7396">
            <w:pPr>
              <w:rPr>
                <w:rFonts w:asciiTheme="minorHAnsi" w:hAnsiTheme="minorHAnsi"/>
              </w:rPr>
            </w:pPr>
          </w:p>
        </w:tc>
        <w:tc>
          <w:tcPr>
            <w:tcW w:w="4338" w:type="dxa"/>
          </w:tcPr>
          <w:p w14:paraId="615F1BAD" w14:textId="77777777" w:rsidR="000B7396" w:rsidRDefault="000906AE" w:rsidP="000906AE">
            <w:pPr>
              <w:rPr>
                <w:rFonts w:asciiTheme="minorHAnsi" w:hAnsiTheme="minorHAnsi"/>
              </w:rPr>
            </w:pPr>
            <w:r>
              <w:rPr>
                <w:rFonts w:asciiTheme="minorHAnsi" w:hAnsiTheme="minorHAnsi"/>
              </w:rPr>
              <w:t>External factors</w:t>
            </w:r>
          </w:p>
        </w:tc>
      </w:tr>
      <w:tr w:rsidR="000B7396" w14:paraId="2F10E283" w14:textId="77777777" w:rsidTr="000906AE">
        <w:tc>
          <w:tcPr>
            <w:tcW w:w="1010" w:type="dxa"/>
          </w:tcPr>
          <w:p w14:paraId="0D97A06F" w14:textId="77777777" w:rsidR="000906AE" w:rsidRDefault="000906AE">
            <w:pPr>
              <w:rPr>
                <w:rFonts w:asciiTheme="minorHAnsi" w:hAnsiTheme="minorHAnsi"/>
              </w:rPr>
            </w:pPr>
            <w:r>
              <w:rPr>
                <w:rFonts w:asciiTheme="minorHAnsi" w:hAnsiTheme="minorHAnsi"/>
              </w:rPr>
              <w:t>Positive</w:t>
            </w:r>
          </w:p>
        </w:tc>
        <w:tc>
          <w:tcPr>
            <w:tcW w:w="4228" w:type="dxa"/>
          </w:tcPr>
          <w:p w14:paraId="0CF281A4" w14:textId="77777777" w:rsidR="000B7396" w:rsidRPr="000906AE" w:rsidRDefault="000906AE">
            <w:pPr>
              <w:rPr>
                <w:rFonts w:asciiTheme="minorHAnsi" w:hAnsiTheme="minorHAnsi"/>
                <w:b/>
              </w:rPr>
            </w:pPr>
            <w:r w:rsidRPr="000906AE">
              <w:rPr>
                <w:rFonts w:asciiTheme="minorHAnsi" w:hAnsiTheme="minorHAnsi"/>
                <w:b/>
              </w:rPr>
              <w:t>STRENGTH</w:t>
            </w:r>
            <w:r>
              <w:rPr>
                <w:rFonts w:asciiTheme="minorHAnsi" w:hAnsiTheme="minorHAnsi"/>
                <w:b/>
              </w:rPr>
              <w:t>S</w:t>
            </w:r>
          </w:p>
          <w:p w14:paraId="4E6436B6" w14:textId="77777777" w:rsidR="000B7396" w:rsidRDefault="000B7396">
            <w:pPr>
              <w:rPr>
                <w:rFonts w:asciiTheme="minorHAnsi" w:hAnsiTheme="minorHAnsi"/>
              </w:rPr>
            </w:pPr>
          </w:p>
          <w:p w14:paraId="7593BE8D" w14:textId="77777777" w:rsidR="000B7396" w:rsidRDefault="000B7396">
            <w:pPr>
              <w:rPr>
                <w:rFonts w:asciiTheme="minorHAnsi" w:hAnsiTheme="minorHAnsi"/>
              </w:rPr>
            </w:pPr>
          </w:p>
        </w:tc>
        <w:tc>
          <w:tcPr>
            <w:tcW w:w="4338" w:type="dxa"/>
          </w:tcPr>
          <w:p w14:paraId="400230A4" w14:textId="77777777" w:rsidR="000B7396" w:rsidRPr="000906AE" w:rsidRDefault="000906AE">
            <w:pPr>
              <w:rPr>
                <w:rFonts w:asciiTheme="minorHAnsi" w:hAnsiTheme="minorHAnsi"/>
                <w:b/>
              </w:rPr>
            </w:pPr>
            <w:r>
              <w:rPr>
                <w:rFonts w:asciiTheme="minorHAnsi" w:hAnsiTheme="minorHAnsi"/>
                <w:b/>
              </w:rPr>
              <w:t>OPPORTUNITIES</w:t>
            </w:r>
          </w:p>
        </w:tc>
      </w:tr>
      <w:tr w:rsidR="000B7396" w14:paraId="2A5856F9" w14:textId="77777777" w:rsidTr="000906AE">
        <w:tc>
          <w:tcPr>
            <w:tcW w:w="1010" w:type="dxa"/>
          </w:tcPr>
          <w:p w14:paraId="35CE9AC0" w14:textId="77777777" w:rsidR="000906AE" w:rsidRDefault="000906AE">
            <w:pPr>
              <w:rPr>
                <w:rFonts w:asciiTheme="minorHAnsi" w:hAnsiTheme="minorHAnsi"/>
              </w:rPr>
            </w:pPr>
            <w:r>
              <w:rPr>
                <w:rFonts w:asciiTheme="minorHAnsi" w:hAnsiTheme="minorHAnsi"/>
              </w:rPr>
              <w:t xml:space="preserve">Negative </w:t>
            </w:r>
          </w:p>
          <w:p w14:paraId="52138573" w14:textId="77777777" w:rsidR="000B7396" w:rsidRDefault="000B7396">
            <w:pPr>
              <w:rPr>
                <w:rFonts w:asciiTheme="minorHAnsi" w:hAnsiTheme="minorHAnsi"/>
              </w:rPr>
            </w:pPr>
          </w:p>
        </w:tc>
        <w:tc>
          <w:tcPr>
            <w:tcW w:w="4228" w:type="dxa"/>
          </w:tcPr>
          <w:p w14:paraId="51F3747A" w14:textId="77777777" w:rsidR="000B7396" w:rsidRPr="000906AE" w:rsidRDefault="000906AE">
            <w:pPr>
              <w:rPr>
                <w:rFonts w:asciiTheme="minorHAnsi" w:hAnsiTheme="minorHAnsi"/>
                <w:b/>
              </w:rPr>
            </w:pPr>
            <w:r w:rsidRPr="000906AE">
              <w:rPr>
                <w:rFonts w:asciiTheme="minorHAnsi" w:hAnsiTheme="minorHAnsi"/>
                <w:b/>
              </w:rPr>
              <w:t>WEAKNESS</w:t>
            </w:r>
            <w:r>
              <w:rPr>
                <w:rFonts w:asciiTheme="minorHAnsi" w:hAnsiTheme="minorHAnsi"/>
                <w:b/>
              </w:rPr>
              <w:t>ES</w:t>
            </w:r>
          </w:p>
          <w:p w14:paraId="03C85526" w14:textId="77777777" w:rsidR="000B7396" w:rsidRDefault="000B7396">
            <w:pPr>
              <w:rPr>
                <w:rFonts w:asciiTheme="minorHAnsi" w:hAnsiTheme="minorHAnsi"/>
              </w:rPr>
            </w:pPr>
          </w:p>
          <w:p w14:paraId="37774AB4" w14:textId="77777777" w:rsidR="000B7396" w:rsidRDefault="000B7396">
            <w:pPr>
              <w:rPr>
                <w:rFonts w:asciiTheme="minorHAnsi" w:hAnsiTheme="minorHAnsi"/>
              </w:rPr>
            </w:pPr>
          </w:p>
          <w:p w14:paraId="7679A232" w14:textId="77777777" w:rsidR="000B7396" w:rsidRDefault="000B7396">
            <w:pPr>
              <w:rPr>
                <w:rFonts w:asciiTheme="minorHAnsi" w:hAnsiTheme="minorHAnsi"/>
              </w:rPr>
            </w:pPr>
          </w:p>
        </w:tc>
        <w:tc>
          <w:tcPr>
            <w:tcW w:w="4338" w:type="dxa"/>
          </w:tcPr>
          <w:p w14:paraId="33504AF5" w14:textId="77777777" w:rsidR="000B7396" w:rsidRPr="000906AE" w:rsidRDefault="000906AE">
            <w:pPr>
              <w:rPr>
                <w:rFonts w:asciiTheme="minorHAnsi" w:hAnsiTheme="minorHAnsi"/>
                <w:b/>
              </w:rPr>
            </w:pPr>
            <w:r w:rsidRPr="000906AE">
              <w:rPr>
                <w:rFonts w:asciiTheme="minorHAnsi" w:hAnsiTheme="minorHAnsi"/>
                <w:b/>
              </w:rPr>
              <w:t>THREAT</w:t>
            </w:r>
            <w:r>
              <w:rPr>
                <w:rFonts w:asciiTheme="minorHAnsi" w:hAnsiTheme="minorHAnsi"/>
                <w:b/>
              </w:rPr>
              <w:t>S</w:t>
            </w:r>
          </w:p>
        </w:tc>
      </w:tr>
    </w:tbl>
    <w:p w14:paraId="1A0D4A41" w14:textId="77777777" w:rsidR="000B7396" w:rsidRPr="000B7396" w:rsidRDefault="000B7396">
      <w:pPr>
        <w:rPr>
          <w:rFonts w:asciiTheme="minorHAnsi" w:hAnsiTheme="minorHAnsi"/>
        </w:rPr>
      </w:pPr>
    </w:p>
    <w:sectPr w:rsidR="000B7396" w:rsidRPr="000B7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20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5F3F7B"/>
    <w:multiLevelType w:val="multilevel"/>
    <w:tmpl w:val="5EDA524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5" w:hanging="360"/>
      </w:pPr>
      <w:rPr>
        <w:b w:val="0"/>
      </w:rPr>
    </w:lvl>
    <w:lvl w:ilvl="7">
      <w:start w:val="1"/>
      <w:numFmt w:val="bullet"/>
      <w:lvlText w:val=""/>
      <w:lvlJc w:val="left"/>
      <w:pPr>
        <w:ind w:left="1352" w:hanging="360"/>
      </w:pPr>
      <w:rPr>
        <w:rFonts w:ascii="Symbol" w:hAnsi="Symbol" w:hint="default"/>
      </w:rPr>
    </w:lvl>
    <w:lvl w:ilvl="8">
      <w:start w:val="1"/>
      <w:numFmt w:val="lowerRoman"/>
      <w:lvlText w:val="%9."/>
      <w:lvlJc w:val="left"/>
      <w:pPr>
        <w:ind w:left="1777"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96"/>
    <w:rsid w:val="00003B3F"/>
    <w:rsid w:val="000906AE"/>
    <w:rsid w:val="000B7396"/>
    <w:rsid w:val="00E074D5"/>
    <w:rsid w:val="00FD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AE64"/>
  <w15:docId w15:val="{21284527-D1B1-477B-A254-BA747B68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96"/>
    <w:pPr>
      <w:spacing w:after="160" w:line="256" w:lineRule="auto"/>
    </w:pPr>
    <w:rPr>
      <w:rFonts w:ascii="Arial" w:hAnsi="Arial"/>
      <w:lang w:val="en-CA"/>
    </w:rPr>
  </w:style>
  <w:style w:type="paragraph" w:styleId="Heading1">
    <w:name w:val="heading 1"/>
    <w:basedOn w:val="Normal"/>
    <w:next w:val="Normal"/>
    <w:link w:val="Heading1Char"/>
    <w:uiPriority w:val="9"/>
    <w:qFormat/>
    <w:rsid w:val="000B73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396"/>
    <w:rPr>
      <w:rFonts w:asciiTheme="majorHAnsi" w:eastAsiaTheme="majorEastAsia" w:hAnsiTheme="majorHAnsi" w:cstheme="majorBidi"/>
      <w:color w:val="365F91" w:themeColor="accent1" w:themeShade="BF"/>
      <w:sz w:val="32"/>
      <w:szCs w:val="32"/>
      <w:lang w:val="en-CA"/>
    </w:rPr>
  </w:style>
  <w:style w:type="paragraph" w:styleId="ListParagraph">
    <w:name w:val="List Paragraph"/>
    <w:basedOn w:val="Normal"/>
    <w:uiPriority w:val="34"/>
    <w:qFormat/>
    <w:rsid w:val="000B7396"/>
    <w:pPr>
      <w:ind w:left="720"/>
      <w:contextualSpacing/>
    </w:pPr>
  </w:style>
  <w:style w:type="table" w:styleId="TableGrid">
    <w:name w:val="Table Grid"/>
    <w:basedOn w:val="TableNormal"/>
    <w:uiPriority w:val="59"/>
    <w:rsid w:val="000B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City of Red Deer</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Maris</dc:creator>
  <cp:lastModifiedBy>Bailey Doepker</cp:lastModifiedBy>
  <cp:revision>2</cp:revision>
  <dcterms:created xsi:type="dcterms:W3CDTF">2021-05-27T17:20:00Z</dcterms:created>
  <dcterms:modified xsi:type="dcterms:W3CDTF">2021-05-27T17:20:00Z</dcterms:modified>
</cp:coreProperties>
</file>